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4B" w:rsidRPr="00340E4B" w:rsidRDefault="00340E4B" w:rsidP="00340E4B">
      <w:pPr>
        <w:widowControl/>
        <w:spacing w:line="585" w:lineRule="atLeast"/>
        <w:jc w:val="center"/>
        <w:outlineLvl w:val="3"/>
        <w:rPr>
          <w:rFonts w:ascii="微软雅黑" w:eastAsia="微软雅黑" w:hAnsi="微软雅黑" w:cs="宋体"/>
          <w:b/>
          <w:bCs/>
          <w:color w:val="413532"/>
          <w:kern w:val="0"/>
          <w:sz w:val="24"/>
          <w:szCs w:val="24"/>
          <w:lang w:val="en"/>
        </w:rPr>
      </w:pPr>
      <w:r w:rsidRPr="00340E4B">
        <w:rPr>
          <w:rFonts w:ascii="微软雅黑" w:eastAsia="微软雅黑" w:hAnsi="微软雅黑" w:cs="宋体" w:hint="eastAsia"/>
          <w:b/>
          <w:bCs/>
          <w:color w:val="413532"/>
          <w:kern w:val="0"/>
          <w:sz w:val="24"/>
          <w:szCs w:val="24"/>
          <w:lang w:val="en"/>
        </w:rPr>
        <w:t>关于推荐2018年度（第二十七届）孙越崎能源科学技术奖（能源大奖）的通知（煤炭）</w:t>
      </w:r>
    </w:p>
    <w:p w:rsidR="00340E4B" w:rsidRPr="00340E4B" w:rsidRDefault="00340E4B" w:rsidP="00340E4B">
      <w:pPr>
        <w:widowControl/>
        <w:spacing w:line="585" w:lineRule="atLeast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各有关单位：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“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孙越崎能源科学技术奖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”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是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2001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年第一批由国家科学技术奖励办公室根据《社会力量设立科学技术奖管理办法》批准登记备案的正式奖项。经研究决定，现开展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2018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年度（第二十七</w:t>
      </w:r>
      <w:bookmarkStart w:id="0" w:name="_GoBack"/>
      <w:bookmarkEnd w:id="0"/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届）能源大奖评选推荐工作。煤炭系统授奖名额为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2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名。现将推荐与评选工作有关事项通知如下：</w:t>
      </w:r>
    </w:p>
    <w:p w:rsidR="00340E4B" w:rsidRPr="00340E4B" w:rsidRDefault="00340E4B" w:rsidP="00340E4B">
      <w:pPr>
        <w:widowControl/>
        <w:spacing w:line="585" w:lineRule="atLeast"/>
        <w:ind w:firstLine="643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黑体" w:eastAsia="黑体" w:hAnsi="黑体" w:cs="宋体" w:hint="eastAsia"/>
          <w:b/>
          <w:bCs/>
          <w:color w:val="413532"/>
          <w:kern w:val="0"/>
          <w:sz w:val="32"/>
          <w:szCs w:val="32"/>
          <w:lang w:val="en"/>
        </w:rPr>
        <w:t>一、候选人条件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1. 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热爱祖国，热爱社会主义，具有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“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奉献、创新、求实、协作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”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的科学精神和优良的科学道德与学风。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2. 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在推动本行业科技进步有重要贡献，或在基础应用理论研究、高新技术产业化方面做出突出贡献的优秀科技人员。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3. 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作为主要完成人获得过国家级奖，省、部级科技进步一、二等奖及以上的主要完成人。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4. 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不受限制年龄。</w:t>
      </w:r>
    </w:p>
    <w:p w:rsidR="00340E4B" w:rsidRPr="00340E4B" w:rsidRDefault="00340E4B" w:rsidP="00340E4B">
      <w:pPr>
        <w:widowControl/>
        <w:spacing w:line="585" w:lineRule="atLeast"/>
        <w:ind w:firstLine="643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黑体" w:eastAsia="黑体" w:hAnsi="黑体" w:cs="宋体" w:hint="eastAsia"/>
          <w:b/>
          <w:bCs/>
          <w:color w:val="413532"/>
          <w:kern w:val="0"/>
          <w:sz w:val="32"/>
          <w:szCs w:val="32"/>
          <w:lang w:val="en"/>
        </w:rPr>
        <w:t>二、推荐名额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1. 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必须由单位推荐，不接受个人申报。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2. 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每个单位限推荐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1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名候选人。</w:t>
      </w:r>
    </w:p>
    <w:p w:rsidR="00340E4B" w:rsidRPr="00340E4B" w:rsidRDefault="00340E4B" w:rsidP="00340E4B">
      <w:pPr>
        <w:widowControl/>
        <w:spacing w:line="585" w:lineRule="atLeast"/>
        <w:ind w:firstLine="643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黑体" w:eastAsia="黑体" w:hAnsi="黑体" w:cs="宋体" w:hint="eastAsia"/>
          <w:b/>
          <w:bCs/>
          <w:color w:val="413532"/>
          <w:kern w:val="0"/>
          <w:sz w:val="32"/>
          <w:szCs w:val="32"/>
          <w:lang w:val="en"/>
        </w:rPr>
        <w:t>三、材料要求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1.“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孙越崎能源大奖推荐表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”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一式三份。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lastRenderedPageBreak/>
        <w:t>2.“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孙越崎能源大奖推荐表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”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证明材料一份（详见推荐表填报说明）。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3.“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孙越崎能源大奖推荐汇总表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”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一份。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4. 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候选人简要事迹材料（限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500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字）；个人免冠照片以及工作照片电子版各一张。（电子版）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推荐表是孙越崎能源科技奖评审的主要依据，申请人应真实客观地进行填写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,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若发现申请人欺瞒行为将取消申请资格。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注：纸质材料和电子版同时上报，纸质材料统一采用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A4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版式，双面打印，分开装订。相关表格在网站首页“下载专区”下载。</w:t>
      </w:r>
    </w:p>
    <w:p w:rsidR="00340E4B" w:rsidRPr="00340E4B" w:rsidRDefault="00340E4B" w:rsidP="00340E4B">
      <w:pPr>
        <w:widowControl/>
        <w:spacing w:line="585" w:lineRule="atLeast"/>
        <w:ind w:firstLine="643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黑体" w:eastAsia="黑体" w:hAnsi="黑体" w:cs="宋体" w:hint="eastAsia"/>
          <w:b/>
          <w:bCs/>
          <w:color w:val="413532"/>
          <w:kern w:val="0"/>
          <w:sz w:val="32"/>
          <w:szCs w:val="32"/>
          <w:lang w:val="en"/>
        </w:rPr>
        <w:t>四、截止时间及报送地址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截止时间：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2018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年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6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月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29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日（以邮戳为准）。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报送地址：北京市朝阳区和平街青年沟路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5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号（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100013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）孙越崎科技教育基金会秘书处（天地大厦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318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室）</w:t>
      </w:r>
    </w:p>
    <w:p w:rsidR="00340E4B" w:rsidRPr="00340E4B" w:rsidRDefault="00340E4B" w:rsidP="00340E4B">
      <w:pPr>
        <w:widowControl/>
        <w:spacing w:line="585" w:lineRule="atLeast"/>
        <w:ind w:firstLine="643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黑体" w:eastAsia="黑体" w:hAnsi="黑体" w:cs="宋体" w:hint="eastAsia"/>
          <w:b/>
          <w:bCs/>
          <w:color w:val="413532"/>
          <w:kern w:val="0"/>
          <w:sz w:val="32"/>
          <w:szCs w:val="32"/>
          <w:lang w:val="en"/>
        </w:rPr>
        <w:t>五、联系方式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联系人：李变荣（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010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）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84263195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、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13810145732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孙家恺（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010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）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84262881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、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18601222527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传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 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真：（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010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）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84262305 </w:t>
      </w:r>
    </w:p>
    <w:p w:rsidR="00340E4B" w:rsidRPr="00340E4B" w:rsidRDefault="00340E4B" w:rsidP="00340E4B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邮</w:t>
      </w:r>
      <w:r w:rsidRPr="00340E4B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 </w:t>
      </w:r>
      <w:r w:rsidRPr="00340E4B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箱：</w:t>
      </w:r>
      <w:r w:rsidRPr="00340E4B">
        <w:rPr>
          <w:rFonts w:ascii="宋体" w:eastAsia="宋体" w:hAnsi="宋体" w:cs="宋体"/>
          <w:color w:val="413532"/>
          <w:kern w:val="0"/>
          <w:sz w:val="28"/>
          <w:szCs w:val="28"/>
          <w:lang w:val="en"/>
        </w:rPr>
        <w:t>syqstef@163.com</w:t>
      </w:r>
      <w:r w:rsidRPr="00340E4B"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  <w:t xml:space="preserve"> </w:t>
      </w:r>
    </w:p>
    <w:p w:rsidR="00F6745C" w:rsidRDefault="00F6745C"/>
    <w:sectPr w:rsidR="00F67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25" w:rsidRDefault="00997425" w:rsidP="0010058E">
      <w:r>
        <w:separator/>
      </w:r>
    </w:p>
  </w:endnote>
  <w:endnote w:type="continuationSeparator" w:id="0">
    <w:p w:rsidR="00997425" w:rsidRDefault="00997425" w:rsidP="0010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25" w:rsidRDefault="00997425" w:rsidP="0010058E">
      <w:r>
        <w:separator/>
      </w:r>
    </w:p>
  </w:footnote>
  <w:footnote w:type="continuationSeparator" w:id="0">
    <w:p w:rsidR="00997425" w:rsidRDefault="00997425" w:rsidP="00100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12"/>
    <w:rsid w:val="0010058E"/>
    <w:rsid w:val="00340E4B"/>
    <w:rsid w:val="00707812"/>
    <w:rsid w:val="00997425"/>
    <w:rsid w:val="00F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93276-265F-4B6D-B3A0-09FF788B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340E4B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40E4B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340E4B"/>
    <w:rPr>
      <w:i/>
      <w:iCs/>
    </w:rPr>
  </w:style>
  <w:style w:type="paragraph" w:styleId="a4">
    <w:name w:val="header"/>
    <w:basedOn w:val="a"/>
    <w:link w:val="Char"/>
    <w:uiPriority w:val="99"/>
    <w:unhideWhenUsed/>
    <w:rsid w:val="00100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05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0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0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7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316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38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>china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薛力猛 成果科</dc:creator>
  <cp:keywords/>
  <dc:description/>
  <cp:lastModifiedBy>薛力猛 成果科</cp:lastModifiedBy>
  <cp:revision>3</cp:revision>
  <dcterms:created xsi:type="dcterms:W3CDTF">2018-06-15T03:44:00Z</dcterms:created>
  <dcterms:modified xsi:type="dcterms:W3CDTF">2018-06-15T03:52:00Z</dcterms:modified>
</cp:coreProperties>
</file>