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附件</w:t>
      </w:r>
      <w:r>
        <w:rPr>
          <w:rFonts w:hint="eastAsia" w:ascii="仿宋_GB2312" w:hAnsi="仿宋_GB2312" w:eastAsia="仿宋_GB2312" w:cs="仿宋_GB2312"/>
          <w:b/>
          <w:sz w:val="32"/>
          <w:szCs w:val="32"/>
          <w:lang w:val="en-US" w:eastAsia="zh-CN"/>
        </w:rPr>
        <w:t>1</w:t>
      </w:r>
    </w:p>
    <w:p>
      <w:pPr>
        <w:keepNext w:val="0"/>
        <w:keepLines w:val="0"/>
        <w:pageBreakBefore w:val="0"/>
        <w:kinsoku/>
        <w:wordWrap/>
        <w:overflowPunct/>
        <w:topLinePunct w:val="0"/>
        <w:autoSpaceDE/>
        <w:autoSpaceDN/>
        <w:bidi w:val="0"/>
        <w:spacing w:line="360" w:lineRule="auto"/>
        <w:ind w:left="0" w:leftChars="0" w:right="0" w:rightChars="0" w:firstLine="0" w:firstLineChars="0"/>
        <w:jc w:val="center"/>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sz w:val="32"/>
          <w:szCs w:val="32"/>
          <w:lang w:val="zh-CN"/>
        </w:rPr>
        <w:t>201</w:t>
      </w:r>
      <w:r>
        <w:rPr>
          <w:rFonts w:hint="eastAsia" w:ascii="仿宋_GB2312" w:hAnsi="仿宋_GB2312" w:eastAsia="仿宋_GB2312" w:cs="仿宋_GB2312"/>
          <w:b/>
          <w:sz w:val="32"/>
          <w:szCs w:val="32"/>
          <w:lang w:val="en-US" w:eastAsia="zh-CN"/>
        </w:rPr>
        <w:t>8</w:t>
      </w:r>
      <w:r>
        <w:rPr>
          <w:rFonts w:hint="eastAsia" w:ascii="仿宋_GB2312" w:hAnsi="仿宋_GB2312" w:eastAsia="仿宋_GB2312" w:cs="仿宋_GB2312"/>
          <w:b/>
          <w:sz w:val="32"/>
          <w:szCs w:val="32"/>
          <w:lang w:val="zh-CN"/>
        </w:rPr>
        <w:t>年度西安市社会科学规划基金课题指南</w:t>
      </w:r>
    </w:p>
    <w:p>
      <w:pPr>
        <w:keepNext w:val="0"/>
        <w:keepLines w:val="0"/>
        <w:pageBreakBefore w:val="0"/>
        <w:kinsoku/>
        <w:wordWrap/>
        <w:overflowPunct/>
        <w:topLinePunct w:val="0"/>
        <w:autoSpaceDE/>
        <w:autoSpaceDN/>
        <w:bidi w:val="0"/>
        <w:spacing w:line="360" w:lineRule="auto"/>
        <w:ind w:left="0" w:leftChars="0" w:right="0" w:rightChars="0" w:firstLine="0" w:firstLineChars="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b/>
          <w:sz w:val="32"/>
          <w:szCs w:val="32"/>
          <w:lang w:val="zh-CN"/>
        </w:rPr>
      </w:pPr>
      <w:r>
        <w:rPr>
          <w:rFonts w:hint="eastAsia" w:ascii="仿宋" w:hAnsi="仿宋" w:eastAsia="仿宋" w:cs="仿宋"/>
          <w:b/>
          <w:sz w:val="32"/>
          <w:szCs w:val="32"/>
          <w:lang w:val="en-US" w:eastAsia="zh-CN"/>
        </w:rPr>
        <w:t>一、</w:t>
      </w:r>
      <w:r>
        <w:rPr>
          <w:rFonts w:hint="eastAsia" w:ascii="仿宋" w:hAnsi="仿宋" w:eastAsia="仿宋" w:cs="仿宋"/>
          <w:b/>
          <w:sz w:val="32"/>
          <w:szCs w:val="32"/>
          <w:lang w:val="zh-CN"/>
        </w:rPr>
        <w:t>丝绸之路经济带建设专题</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“一带一路”视阈下大西安国际化大都市建设研究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“一带一路”背景下西安提升科技创新、文化创新、产业创新能力研究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“一带一路”背景下西安民营银行发展战略研究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bCs/>
          <w:sz w:val="30"/>
          <w:szCs w:val="30"/>
        </w:rPr>
        <w:t>大西安丝绸之路博物馆建设研究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sz w:val="30"/>
          <w:szCs w:val="30"/>
          <w:shd w:val="clear" w:color="auto" w:fill="FFFFFF"/>
        </w:rPr>
      </w:pPr>
      <w:r>
        <w:rPr>
          <w:rFonts w:hint="eastAsia" w:ascii="仿宋_GB2312" w:hAnsi="仿宋_GB2312" w:eastAsia="仿宋_GB2312" w:cs="仿宋_GB2312"/>
          <w:color w:val="000000"/>
          <w:sz w:val="30"/>
          <w:szCs w:val="30"/>
          <w:shd w:val="clear" w:color="auto" w:fill="FFFFFF"/>
        </w:rPr>
        <w:t>“一带一路”沿线国家</w:t>
      </w:r>
      <w:r>
        <w:rPr>
          <w:rFonts w:hint="eastAsia" w:ascii="仿宋_GB2312" w:hAnsi="仿宋_GB2312" w:eastAsia="仿宋_GB2312" w:cs="仿宋_GB2312"/>
          <w:color w:val="000000"/>
          <w:sz w:val="30"/>
          <w:szCs w:val="30"/>
          <w:shd w:val="clear" w:color="auto" w:fill="FFFFFF"/>
          <w:lang w:val="en-US" w:eastAsia="zh-CN"/>
        </w:rPr>
        <w:t>与西安</w:t>
      </w:r>
      <w:r>
        <w:rPr>
          <w:rFonts w:hint="eastAsia" w:ascii="仿宋_GB2312" w:hAnsi="仿宋_GB2312" w:eastAsia="仿宋_GB2312" w:cs="仿宋_GB2312"/>
          <w:color w:val="000000"/>
          <w:sz w:val="30"/>
          <w:szCs w:val="30"/>
          <w:shd w:val="clear" w:color="auto" w:fill="FFFFFF"/>
        </w:rPr>
        <w:t>经济增长</w:t>
      </w:r>
      <w:r>
        <w:rPr>
          <w:rFonts w:hint="eastAsia" w:ascii="仿宋_GB2312" w:hAnsi="仿宋_GB2312" w:eastAsia="仿宋_GB2312" w:cs="仿宋_GB2312"/>
          <w:color w:val="000000"/>
          <w:sz w:val="30"/>
          <w:szCs w:val="30"/>
          <w:shd w:val="clear" w:color="auto" w:fill="FFFFFF"/>
          <w:lang w:val="en-US" w:eastAsia="zh-CN"/>
        </w:rPr>
        <w:t>关联度</w:t>
      </w:r>
      <w:r>
        <w:rPr>
          <w:rFonts w:hint="eastAsia" w:ascii="仿宋_GB2312" w:hAnsi="仿宋_GB2312" w:eastAsia="仿宋_GB2312" w:cs="仿宋_GB2312"/>
          <w:color w:val="000000"/>
          <w:sz w:val="30"/>
          <w:szCs w:val="30"/>
          <w:shd w:val="clear" w:color="auto" w:fill="FFFFFF"/>
        </w:rPr>
        <w:t>的研究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“一带一路”建设</w:t>
      </w:r>
      <w:r>
        <w:rPr>
          <w:rFonts w:hint="eastAsia" w:ascii="仿宋_GB2312" w:hAnsi="仿宋_GB2312" w:eastAsia="仿宋_GB2312" w:cs="仿宋_GB2312"/>
          <w:sz w:val="30"/>
          <w:szCs w:val="30"/>
          <w:lang w:val="en-US" w:eastAsia="zh-CN"/>
        </w:rPr>
        <w:t>与</w:t>
      </w:r>
      <w:r>
        <w:rPr>
          <w:rFonts w:hint="eastAsia" w:ascii="仿宋_GB2312" w:hAnsi="仿宋_GB2312" w:eastAsia="仿宋_GB2312" w:cs="仿宋_GB2312"/>
          <w:sz w:val="30"/>
          <w:szCs w:val="30"/>
        </w:rPr>
        <w:t>西商</w:t>
      </w:r>
      <w:r>
        <w:rPr>
          <w:rFonts w:hint="eastAsia" w:ascii="仿宋_GB2312" w:hAnsi="仿宋_GB2312" w:eastAsia="仿宋_GB2312" w:cs="仿宋_GB2312"/>
          <w:sz w:val="30"/>
          <w:szCs w:val="30"/>
          <w:lang w:val="en-US" w:eastAsia="zh-CN"/>
        </w:rPr>
        <w:t>发展研究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“一带一路”视域下国与国价值比较因素研究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“一带一路”背景下西商精神的新时代意义研究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一带一路</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lang w:val="en-US" w:eastAsia="zh-CN"/>
        </w:rPr>
        <w:t>沿线社科智库合作机制研究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auto"/>
          <w:sz w:val="30"/>
          <w:szCs w:val="30"/>
        </w:rPr>
      </w:pPr>
      <w:r>
        <w:rPr>
          <w:rFonts w:hint="eastAsia" w:ascii="仿宋" w:hAnsi="仿宋" w:eastAsia="仿宋" w:cs="仿宋"/>
          <w:sz w:val="32"/>
          <w:szCs w:val="32"/>
          <w:lang w:val="en-US" w:eastAsia="zh-CN"/>
        </w:rPr>
        <w:t>大西安在“一带一路”建设中的新地位和新作用</w:t>
      </w:r>
      <w:r>
        <w:rPr>
          <w:rFonts w:hint="eastAsia" w:ascii="仿宋_GB2312" w:hAnsi="仿宋_GB2312" w:eastAsia="仿宋_GB2312" w:cs="仿宋_GB2312"/>
          <w:color w:val="auto"/>
          <w:sz w:val="30"/>
          <w:szCs w:val="30"/>
        </w:rPr>
        <w:t>研究</w:t>
      </w:r>
    </w:p>
    <w:p>
      <w:pPr>
        <w:keepNext w:val="0"/>
        <w:keepLines w:val="0"/>
        <w:pageBreakBefore w:val="0"/>
        <w:numPr>
          <w:ilvl w:val="0"/>
          <w:numId w:val="1"/>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rPr>
        <w:t>西安市建设</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一带一路</w:t>
      </w:r>
      <w:r>
        <w:rPr>
          <w:rFonts w:hint="eastAsia" w:ascii="仿宋_GB2312" w:hAnsi="仿宋_GB2312" w:eastAsia="仿宋_GB2312" w:cs="仿宋_GB2312"/>
          <w:color w:val="auto"/>
          <w:sz w:val="30"/>
          <w:szCs w:val="30"/>
          <w:lang w:eastAsia="zh-CN"/>
        </w:rPr>
        <w:t>”</w:t>
      </w:r>
      <w:r>
        <w:rPr>
          <w:rFonts w:hint="eastAsia" w:ascii="仿宋_GB2312" w:hAnsi="仿宋_GB2312" w:eastAsia="仿宋_GB2312" w:cs="仿宋_GB2312"/>
          <w:color w:val="auto"/>
          <w:sz w:val="30"/>
          <w:szCs w:val="30"/>
        </w:rPr>
        <w:t>交流平台研究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en-US" w:eastAsia="zh-CN"/>
        </w:rPr>
        <w:t>二、</w:t>
      </w:r>
      <w:r>
        <w:rPr>
          <w:rFonts w:hint="eastAsia" w:ascii="仿宋_GB2312" w:hAnsi="仿宋_GB2312" w:eastAsia="仿宋_GB2312" w:cs="仿宋_GB2312"/>
          <w:b/>
          <w:bCs/>
          <w:sz w:val="30"/>
          <w:szCs w:val="30"/>
          <w:lang w:val="zh-CN"/>
        </w:rPr>
        <w:t>经济学、管理学</w:t>
      </w:r>
    </w:p>
    <w:p>
      <w:pPr>
        <w:keepNext w:val="0"/>
        <w:keepLines w:val="0"/>
        <w:pageBreakBefore w:val="0"/>
        <w:numPr>
          <w:ilvl w:val="0"/>
          <w:numId w:val="2"/>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习近平新时代中国特色社会主义经济思想研究</w:t>
      </w:r>
    </w:p>
    <w:p>
      <w:pPr>
        <w:keepNext w:val="0"/>
        <w:keepLines w:val="0"/>
        <w:pageBreakBefore w:val="0"/>
        <w:numPr>
          <w:ilvl w:val="0"/>
          <w:numId w:val="2"/>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eastAsia="zh-CN"/>
        </w:rPr>
      </w:pPr>
      <w:r>
        <w:rPr>
          <w:rFonts w:hint="eastAsia" w:ascii="仿宋" w:hAnsi="仿宋" w:eastAsia="仿宋" w:cs="仿宋"/>
          <w:sz w:val="32"/>
          <w:szCs w:val="32"/>
          <w:lang w:val="en-US" w:eastAsia="zh-CN"/>
        </w:rPr>
        <w:t>西安构建城市国际化指标体系和国际营商环境研究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大西安建设背景下城郊居民清洁能源使用激励机制研究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西安市共享单车承载能力测度方法及管治措施研究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西安市</w:t>
      </w:r>
      <w:r>
        <w:rPr>
          <w:rFonts w:hint="eastAsia" w:ascii="仿宋_GB2312" w:hAnsi="仿宋_GB2312" w:eastAsia="仿宋_GB2312" w:cs="仿宋_GB2312"/>
          <w:sz w:val="30"/>
          <w:szCs w:val="30"/>
          <w:lang w:eastAsia="zh-CN"/>
        </w:rPr>
        <w:t>创新驱动发展战略</w:t>
      </w:r>
      <w:r>
        <w:rPr>
          <w:rFonts w:hint="eastAsia" w:ascii="仿宋_GB2312" w:hAnsi="仿宋_GB2312" w:eastAsia="仿宋_GB2312" w:cs="仿宋_GB2312"/>
          <w:sz w:val="30"/>
          <w:szCs w:val="30"/>
        </w:rPr>
        <w:t>及其激励政策研究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西安市新能源汽车创新战略与支持政策研究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政府公共服务质量与居民感知一致性评价问题研究</w:t>
      </w:r>
    </w:p>
    <w:p>
      <w:pPr>
        <w:keepNext w:val="0"/>
        <w:keepLines w:val="0"/>
        <w:pageBreakBefore w:val="0"/>
        <w:widowControl/>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大西安建设、人口流动与城市治理体系研究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西安市农村集体资产股份权能改革研究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西安市科技产业发展研究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 w:hAnsi="仿宋" w:eastAsia="仿宋" w:cs="仿宋"/>
          <w:sz w:val="32"/>
          <w:szCs w:val="32"/>
          <w:lang w:val="en-US" w:eastAsia="zh-CN"/>
        </w:rPr>
        <w:t>西安提升金融国际化程度研究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互联网金融背景下西安市普惠金融发展水平及其减贫效应研究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西安市金融支持精准脱贫的可持续性研究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精准扶贫产业项目绩效评估研究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西安</w:t>
      </w: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区县域经济短板问题研究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w:t>
      </w: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民营经济补短板问题研究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政府效能建设若干问题研究</w:t>
      </w:r>
      <w:bookmarkStart w:id="0" w:name="_GoBack"/>
      <w:bookmarkEnd w:id="0"/>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 w:hAnsi="仿宋" w:eastAsia="仿宋" w:cs="仿宋"/>
          <w:sz w:val="32"/>
          <w:szCs w:val="32"/>
          <w:lang w:val="en-US" w:eastAsia="zh-CN"/>
        </w:rPr>
        <w:t>西安完善基础设施国际化功能研究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w:t>
      </w: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全面创新改革试点高校科技成果转化路径研究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大数据产业促进西安经济增长新动能的机制与路径研究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西安市民间商会治理与民营企业发展</w:t>
      </w:r>
      <w:r>
        <w:rPr>
          <w:rFonts w:hint="eastAsia" w:ascii="仿宋_GB2312" w:hAnsi="仿宋_GB2312" w:eastAsia="仿宋_GB2312" w:cs="仿宋_GB2312"/>
          <w:sz w:val="30"/>
          <w:szCs w:val="30"/>
        </w:rPr>
        <w:t xml:space="preserve"> </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激发和保护企业家精神的理论与政策研究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西安市教育科技型特色小镇发展路径研究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追赶超越背景下西安市科技人才培养研究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“二孩政策”背景下西安市市民的心理压力研究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default" w:ascii="仿宋_GB2312" w:hAnsi="仿宋_GB2312" w:eastAsia="仿宋_GB2312" w:cs="仿宋_GB2312"/>
          <w:sz w:val="30"/>
          <w:szCs w:val="30"/>
          <w:lang w:val="en-US" w:eastAsia="zh-CN"/>
        </w:rPr>
        <w:t>推动互联网、大数据、人工智能和实体经济深度融合</w:t>
      </w:r>
      <w:r>
        <w:rPr>
          <w:rFonts w:hint="eastAsia" w:ascii="仿宋_GB2312" w:hAnsi="仿宋_GB2312" w:eastAsia="仿宋_GB2312" w:cs="仿宋_GB2312"/>
          <w:sz w:val="30"/>
          <w:szCs w:val="30"/>
          <w:lang w:val="en-US" w:eastAsia="zh-CN"/>
        </w:rPr>
        <w:t>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自由贸易试验区更大改革自主权赋权问题研究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中国（西安）内陆型自由贸易港目标战略与建设路径研究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西咸一体化发展研究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新时代下高新区新兴产业科技创新发展研究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落实“五新”发展战略问题研究</w:t>
      </w:r>
    </w:p>
    <w:p>
      <w:pPr>
        <w:pStyle w:val="6"/>
        <w:keepNext w:val="0"/>
        <w:keepLines w:val="0"/>
        <w:pageBreakBefore w:val="0"/>
        <w:numPr>
          <w:ilvl w:val="0"/>
          <w:numId w:val="2"/>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打造硬科技之都指标体系研究</w:t>
      </w:r>
    </w:p>
    <w:p>
      <w:pPr>
        <w:pStyle w:val="6"/>
        <w:keepNext w:val="0"/>
        <w:keepLines w:val="0"/>
        <w:pageBreakBefore w:val="0"/>
        <w:numPr>
          <w:ilvl w:val="0"/>
          <w:numId w:val="2"/>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kern w:val="2"/>
          <w:sz w:val="30"/>
          <w:szCs w:val="30"/>
          <w:lang w:val="en-US" w:eastAsia="zh-CN" w:bidi="ar-SA"/>
        </w:rPr>
      </w:pPr>
      <w:r>
        <w:rPr>
          <w:rFonts w:hint="eastAsia" w:ascii="仿宋_GB2312" w:hAnsi="仿宋_GB2312" w:eastAsia="仿宋_GB2312" w:cs="仿宋_GB2312"/>
          <w:kern w:val="2"/>
          <w:sz w:val="30"/>
          <w:szCs w:val="30"/>
          <w:lang w:val="en-US" w:eastAsia="zh-CN" w:bidi="ar-SA"/>
        </w:rPr>
        <w:t>加快产业转型升级，提高西安发展质量研究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default" w:ascii="仿宋_GB2312" w:hAnsi="仿宋_GB2312" w:eastAsia="仿宋_GB2312" w:cs="仿宋_GB2312"/>
          <w:sz w:val="30"/>
          <w:szCs w:val="30"/>
          <w:lang w:val="en-US" w:eastAsia="zh-CN"/>
        </w:rPr>
      </w:pPr>
      <w:r>
        <w:rPr>
          <w:rFonts w:hint="default" w:ascii="仿宋_GB2312" w:hAnsi="仿宋_GB2312" w:eastAsia="仿宋_GB2312" w:cs="仿宋_GB2312"/>
          <w:sz w:val="30"/>
          <w:szCs w:val="30"/>
          <w:lang w:val="en-US" w:eastAsia="zh-CN"/>
        </w:rPr>
        <w:t>国际化大都市建设背景</w:t>
      </w:r>
      <w:r>
        <w:rPr>
          <w:rFonts w:hint="eastAsia" w:ascii="仿宋_GB2312" w:hAnsi="仿宋_GB2312" w:eastAsia="仿宋_GB2312" w:cs="仿宋_GB2312"/>
          <w:sz w:val="30"/>
          <w:szCs w:val="30"/>
          <w:lang w:val="en-US" w:eastAsia="zh-CN"/>
        </w:rPr>
        <w:t>下</w:t>
      </w:r>
      <w:r>
        <w:rPr>
          <w:rFonts w:hint="default" w:ascii="仿宋_GB2312" w:hAnsi="仿宋_GB2312" w:eastAsia="仿宋_GB2312" w:cs="仿宋_GB2312"/>
          <w:sz w:val="30"/>
          <w:szCs w:val="30"/>
          <w:lang w:val="en-US" w:eastAsia="zh-CN"/>
        </w:rPr>
        <w:t>产城融合发展</w:t>
      </w:r>
      <w:r>
        <w:rPr>
          <w:rFonts w:hint="eastAsia" w:ascii="仿宋_GB2312" w:hAnsi="仿宋_GB2312" w:eastAsia="仿宋_GB2312" w:cs="仿宋_GB2312"/>
          <w:sz w:val="30"/>
          <w:szCs w:val="30"/>
          <w:lang w:val="en-US" w:eastAsia="zh-CN"/>
        </w:rPr>
        <w:t>问题研究</w:t>
      </w:r>
    </w:p>
    <w:p>
      <w:pPr>
        <w:keepNext w:val="0"/>
        <w:keepLines w:val="0"/>
        <w:pageBreakBefore w:val="0"/>
        <w:numPr>
          <w:ilvl w:val="0"/>
          <w:numId w:val="2"/>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西安市城墙内区域的发展问题研究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en-US" w:eastAsia="zh-CN"/>
        </w:rPr>
        <w:t>三</w:t>
      </w:r>
      <w:r>
        <w:rPr>
          <w:rFonts w:hint="eastAsia" w:ascii="仿宋_GB2312" w:hAnsi="仿宋_GB2312" w:eastAsia="仿宋_GB2312" w:cs="仿宋_GB2312"/>
          <w:b/>
          <w:bCs/>
          <w:sz w:val="30"/>
          <w:szCs w:val="30"/>
          <w:lang w:val="zh-CN"/>
        </w:rPr>
        <w:t>、文学、历史、哲学</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西安国际化大都市形象构建过程中多语种语言景观的建设与规范研究</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当代西安文学艺术的文化传承与创新研究</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历代著名文人西安行迹问题研究</w:t>
      </w:r>
    </w:p>
    <w:p>
      <w:pPr>
        <w:keepNext w:val="0"/>
        <w:keepLines w:val="0"/>
        <w:pageBreakBefore w:val="0"/>
        <w:numPr>
          <w:ilvl w:val="0"/>
          <w:numId w:val="3"/>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社会主义核心价值观融入社会发展问题研究</w:t>
      </w:r>
    </w:p>
    <w:p>
      <w:pPr>
        <w:keepNext w:val="0"/>
        <w:keepLines w:val="0"/>
        <w:pageBreakBefore w:val="0"/>
        <w:numPr>
          <w:ilvl w:val="0"/>
          <w:numId w:val="3"/>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明清以来西商“炉客”在西南地区经商活动研究</w:t>
      </w:r>
    </w:p>
    <w:p>
      <w:pPr>
        <w:keepNext w:val="0"/>
        <w:keepLines w:val="0"/>
        <w:pageBreakBefore w:val="0"/>
        <w:numPr>
          <w:ilvl w:val="0"/>
          <w:numId w:val="3"/>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大秦岭申请世界文化遗产文化资源调查研究</w:t>
      </w:r>
    </w:p>
    <w:p>
      <w:pPr>
        <w:keepNext w:val="0"/>
        <w:keepLines w:val="0"/>
        <w:pageBreakBefore w:val="0"/>
        <w:numPr>
          <w:ilvl w:val="0"/>
          <w:numId w:val="3"/>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“中国英语”与中国软实力传播关系研究</w:t>
      </w:r>
    </w:p>
    <w:p>
      <w:pPr>
        <w:keepNext w:val="0"/>
        <w:keepLines w:val="0"/>
        <w:pageBreakBefore w:val="0"/>
        <w:numPr>
          <w:ilvl w:val="0"/>
          <w:numId w:val="3"/>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红色革命传统与文化旅游项目翻译研究</w:t>
      </w:r>
    </w:p>
    <w:p>
      <w:pPr>
        <w:keepNext w:val="0"/>
        <w:keepLines w:val="0"/>
        <w:pageBreakBefore w:val="0"/>
        <w:numPr>
          <w:ilvl w:val="0"/>
          <w:numId w:val="0"/>
        </w:numPr>
        <w:kinsoku/>
        <w:wordWrap/>
        <w:overflowPunct/>
        <w:topLinePunct w:val="0"/>
        <w:autoSpaceDE/>
        <w:autoSpaceDN/>
        <w:bidi w:val="0"/>
        <w:spacing w:line="560" w:lineRule="exact"/>
        <w:ind w:right="0" w:rightChars="0"/>
        <w:jc w:val="both"/>
        <w:textAlignment w:val="auto"/>
        <w:outlineLvl w:val="9"/>
        <w:rPr>
          <w:rFonts w:hint="eastAsia" w:ascii="仿宋_GB2312" w:hAnsi="仿宋_GB2312" w:eastAsia="仿宋_GB2312" w:cs="仿宋_GB2312"/>
          <w:b/>
          <w:bCs/>
          <w:sz w:val="30"/>
          <w:szCs w:val="30"/>
          <w:lang w:val="zh-CN"/>
        </w:rPr>
      </w:pPr>
      <w:r>
        <w:rPr>
          <w:rFonts w:hint="eastAsia" w:ascii="仿宋_GB2312" w:hAnsi="仿宋_GB2312" w:eastAsia="仿宋_GB2312" w:cs="仿宋_GB2312"/>
          <w:b/>
          <w:bCs/>
          <w:sz w:val="30"/>
          <w:szCs w:val="30"/>
          <w:lang w:val="zh-CN"/>
        </w:rPr>
        <w:t>四、政治学、党建、法学</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习近平新时代中国特色社会主义思想研究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习近平对陕西发展定位“追赶超越”思想研究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梁家河知青岁月与习近平新时代中国特色社会主义思想形成研究</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乡村振兴战略下的特色小镇建设模式及发展路径研究</w:t>
      </w:r>
    </w:p>
    <w:p>
      <w:pPr>
        <w:keepNext w:val="0"/>
        <w:keepLines w:val="0"/>
        <w:pageBreakBefore w:val="0"/>
        <w:numPr>
          <w:ilvl w:val="0"/>
          <w:numId w:val="4"/>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新时代全面从严治党背景下基层腐败治理研究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环境执法存在的问题及对策研究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西安市</w:t>
      </w:r>
      <w:r>
        <w:rPr>
          <w:rFonts w:hint="eastAsia" w:ascii="仿宋_GB2312" w:hAnsi="仿宋_GB2312" w:eastAsia="仿宋_GB2312" w:cs="仿宋_GB2312"/>
          <w:sz w:val="30"/>
          <w:szCs w:val="30"/>
          <w:lang w:val="en-US" w:eastAsia="zh-CN"/>
        </w:rPr>
        <w:t>环境治理</w:t>
      </w:r>
      <w:r>
        <w:rPr>
          <w:rFonts w:hint="eastAsia" w:ascii="仿宋_GB2312" w:hAnsi="仿宋_GB2312" w:eastAsia="仿宋_GB2312" w:cs="仿宋_GB2312"/>
          <w:sz w:val="30"/>
          <w:szCs w:val="30"/>
        </w:rPr>
        <w:t>对策研究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新时代西安市社区基层党组织功能重构及实现路径</w:t>
      </w:r>
      <w:r>
        <w:rPr>
          <w:rFonts w:hint="eastAsia" w:ascii="仿宋_GB2312" w:hAnsi="仿宋_GB2312" w:eastAsia="仿宋_GB2312" w:cs="仿宋_GB2312"/>
          <w:sz w:val="30"/>
          <w:szCs w:val="30"/>
          <w:lang w:val="en-US" w:eastAsia="zh-CN"/>
        </w:rPr>
        <w:t>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sz w:val="30"/>
          <w:szCs w:val="30"/>
          <w:lang w:eastAsia="zh-CN"/>
        </w:rPr>
        <w:t>领导干部家风建设研究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大数据视野下的法治政府建设研究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kern w:val="2"/>
          <w:sz w:val="30"/>
          <w:szCs w:val="30"/>
          <w:lang w:val="en-US" w:eastAsia="zh-CN" w:bidi="ar-SA"/>
        </w:rPr>
      </w:pPr>
      <w:r>
        <w:rPr>
          <w:rFonts w:hint="eastAsia" w:ascii="仿宋_GB2312" w:hAnsi="仿宋_GB2312" w:eastAsia="仿宋_GB2312" w:cs="仿宋_GB2312"/>
          <w:b w:val="0"/>
          <w:bCs w:val="0"/>
          <w:sz w:val="30"/>
          <w:szCs w:val="30"/>
          <w:lang w:val="en-US" w:eastAsia="zh-CN"/>
        </w:rPr>
        <w:t>新媒体传播对社会关系的冲击及其平衡机制研究</w:t>
      </w:r>
    </w:p>
    <w:p>
      <w:pPr>
        <w:keepNext w:val="0"/>
        <w:keepLines w:val="0"/>
        <w:pageBreakBefore w:val="0"/>
        <w:numPr>
          <w:ilvl w:val="0"/>
          <w:numId w:val="4"/>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kern w:val="2"/>
          <w:sz w:val="30"/>
          <w:szCs w:val="30"/>
          <w:lang w:val="en-US" w:eastAsia="zh-CN" w:bidi="ar-SA"/>
        </w:rPr>
      </w:pPr>
      <w:r>
        <w:rPr>
          <w:rFonts w:hint="default" w:ascii="仿宋_GB2312" w:hAnsi="仿宋_GB2312" w:eastAsia="仿宋_GB2312" w:cs="仿宋_GB2312"/>
          <w:b w:val="0"/>
          <w:bCs w:val="0"/>
          <w:kern w:val="2"/>
          <w:sz w:val="30"/>
          <w:szCs w:val="30"/>
          <w:lang w:val="en-US" w:eastAsia="zh-CN" w:bidi="ar-SA"/>
        </w:rPr>
        <w:t>加强中国特色新型智库建设</w:t>
      </w:r>
      <w:r>
        <w:rPr>
          <w:rFonts w:hint="eastAsia" w:ascii="仿宋_GB2312" w:hAnsi="仿宋_GB2312" w:eastAsia="仿宋_GB2312" w:cs="仿宋_GB2312"/>
          <w:b w:val="0"/>
          <w:bCs w:val="0"/>
          <w:kern w:val="2"/>
          <w:sz w:val="30"/>
          <w:szCs w:val="30"/>
          <w:lang w:val="en-US" w:eastAsia="zh-CN" w:bidi="ar-SA"/>
        </w:rPr>
        <w:t>研究</w:t>
      </w:r>
    </w:p>
    <w:p>
      <w:pPr>
        <w:keepNext w:val="0"/>
        <w:keepLines w:val="0"/>
        <w:pageBreakBefore w:val="0"/>
        <w:numPr>
          <w:ilvl w:val="0"/>
          <w:numId w:val="0"/>
        </w:numPr>
        <w:kinsoku/>
        <w:wordWrap/>
        <w:overflowPunct/>
        <w:topLinePunct w:val="0"/>
        <w:autoSpaceDE/>
        <w:autoSpaceDN/>
        <w:bidi w:val="0"/>
        <w:spacing w:line="560" w:lineRule="exact"/>
        <w:ind w:right="0" w:rightChars="0"/>
        <w:jc w:val="both"/>
        <w:textAlignment w:val="auto"/>
        <w:outlineLvl w:val="9"/>
        <w:rPr>
          <w:rFonts w:hint="eastAsia" w:ascii="仿宋_GB2312" w:hAnsi="仿宋_GB2312" w:eastAsia="仿宋_GB2312" w:cs="仿宋_GB2312"/>
          <w:b/>
          <w:bCs/>
          <w:sz w:val="30"/>
          <w:szCs w:val="30"/>
          <w:lang w:val="zh-CN" w:eastAsia="zh-CN"/>
        </w:rPr>
      </w:pPr>
      <w:r>
        <w:rPr>
          <w:rFonts w:hint="eastAsia" w:ascii="仿宋_GB2312" w:hAnsi="仿宋_GB2312" w:eastAsia="仿宋_GB2312" w:cs="仿宋_GB2312"/>
          <w:b/>
          <w:bCs/>
          <w:sz w:val="30"/>
          <w:szCs w:val="30"/>
          <w:lang w:val="zh-CN" w:eastAsia="zh-CN"/>
        </w:rPr>
        <w:t>五、社会学</w:t>
      </w:r>
    </w:p>
    <w:p>
      <w:pPr>
        <w:widowControl w:val="0"/>
        <w:numPr>
          <w:ilvl w:val="0"/>
          <w:numId w:val="5"/>
        </w:numPr>
        <w:ind w:left="0" w:leftChars="0" w:firstLine="40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西安吸引高端人才研究</w:t>
      </w:r>
    </w:p>
    <w:p>
      <w:pPr>
        <w:widowControl w:val="0"/>
        <w:numPr>
          <w:ilvl w:val="0"/>
          <w:numId w:val="5"/>
        </w:numPr>
        <w:ind w:left="0" w:leftChars="0" w:firstLine="400" w:firstLineChars="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西安提升城市美誉度和国际影响力研究</w:t>
      </w:r>
    </w:p>
    <w:p>
      <w:pPr>
        <w:keepNext w:val="0"/>
        <w:keepLines w:val="0"/>
        <w:pageBreakBefore w:val="0"/>
        <w:numPr>
          <w:ilvl w:val="0"/>
          <w:numId w:val="5"/>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bCs/>
          <w:sz w:val="30"/>
          <w:szCs w:val="30"/>
          <w:lang w:val="zh-CN" w:eastAsia="zh-CN"/>
        </w:rPr>
      </w:pPr>
      <w:r>
        <w:rPr>
          <w:rFonts w:hint="eastAsia" w:ascii="仿宋" w:hAnsi="仿宋" w:eastAsia="仿宋" w:cs="仿宋"/>
          <w:sz w:val="32"/>
          <w:szCs w:val="32"/>
          <w:lang w:val="en-US" w:eastAsia="zh-CN"/>
        </w:rPr>
        <w:t>西安在推进国际化进程中市民生活幸福感研究</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中亚地区的文明认同及其对丝路建设的影响研究</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丝路沿线国家的文明认同及其冲突问题研究</w:t>
      </w:r>
    </w:p>
    <w:p>
      <w:pPr>
        <w:keepNext w:val="0"/>
        <w:keepLines w:val="0"/>
        <w:pageBreakBefore w:val="0"/>
        <w:numPr>
          <w:ilvl w:val="0"/>
          <w:numId w:val="5"/>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老年慢性病与体育健康“干预”问题研究</w:t>
      </w:r>
    </w:p>
    <w:p>
      <w:pPr>
        <w:keepNext w:val="0"/>
        <w:keepLines w:val="0"/>
        <w:pageBreakBefore w:val="0"/>
        <w:numPr>
          <w:ilvl w:val="0"/>
          <w:numId w:val="5"/>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西安打造“阅读之城”路径研究</w:t>
      </w:r>
    </w:p>
    <w:p>
      <w:pPr>
        <w:keepNext w:val="0"/>
        <w:keepLines w:val="0"/>
        <w:pageBreakBefore w:val="0"/>
        <w:numPr>
          <w:ilvl w:val="0"/>
          <w:numId w:val="5"/>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sz w:val="30"/>
          <w:szCs w:val="30"/>
          <w:lang w:val="en-US" w:eastAsia="zh-CN"/>
        </w:rPr>
        <w:t>西安市大气环境网格化治理研究</w:t>
      </w:r>
    </w:p>
    <w:p>
      <w:pPr>
        <w:keepNext w:val="0"/>
        <w:keepLines w:val="0"/>
        <w:pageBreakBefore w:val="0"/>
        <w:numPr>
          <w:ilvl w:val="0"/>
          <w:numId w:val="5"/>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全面二孩政策背景下西安市构建公立托幼服务体系研究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0"/>
          <w:szCs w:val="30"/>
          <w:lang w:val="zh-CN" w:eastAsia="zh-CN"/>
        </w:rPr>
      </w:pPr>
      <w:r>
        <w:rPr>
          <w:rFonts w:hint="eastAsia" w:ascii="仿宋_GB2312" w:hAnsi="仿宋_GB2312" w:eastAsia="仿宋_GB2312" w:cs="仿宋_GB2312"/>
          <w:b/>
          <w:bCs/>
          <w:sz w:val="30"/>
          <w:szCs w:val="30"/>
          <w:lang w:val="en-US" w:eastAsia="zh-CN"/>
        </w:rPr>
        <w:t>六</w:t>
      </w:r>
      <w:r>
        <w:rPr>
          <w:rFonts w:hint="eastAsia" w:ascii="仿宋_GB2312" w:hAnsi="仿宋_GB2312" w:eastAsia="仿宋_GB2312" w:cs="仿宋_GB2312"/>
          <w:b/>
          <w:bCs/>
          <w:sz w:val="30"/>
          <w:szCs w:val="30"/>
          <w:lang w:val="zh-CN" w:eastAsia="zh-CN"/>
        </w:rPr>
        <w:t>、旅游、新闻传播、图书情报</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 w:hAnsi="仿宋" w:eastAsia="仿宋" w:cs="仿宋"/>
          <w:sz w:val="32"/>
          <w:szCs w:val="32"/>
          <w:lang w:val="en-US" w:eastAsia="zh-CN"/>
        </w:rPr>
        <w:t>西安对标世界旅游时尚之都短板研究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西安航空文化旅游产业发展规划研究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西安国际化大都市形象宣传与受众接受效果研究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西安旅游文创产品开发研究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大西安革命建筑的保护方法研究</w:t>
      </w:r>
    </w:p>
    <w:p>
      <w:pPr>
        <w:keepNext w:val="0"/>
        <w:keepLines w:val="0"/>
        <w:pageBreakBefore w:val="0"/>
        <w:numPr>
          <w:ilvl w:val="0"/>
          <w:numId w:val="6"/>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val="0"/>
          <w:sz w:val="30"/>
          <w:szCs w:val="30"/>
          <w:lang w:val="en-US" w:eastAsia="zh-CN"/>
        </w:rPr>
      </w:pPr>
      <w:r>
        <w:rPr>
          <w:rFonts w:hint="eastAsia" w:ascii="仿宋_GB2312" w:hAnsi="仿宋_GB2312" w:eastAsia="仿宋_GB2312" w:cs="仿宋_GB2312"/>
          <w:b w:val="0"/>
          <w:bCs w:val="0"/>
          <w:color w:val="000000"/>
          <w:sz w:val="30"/>
          <w:szCs w:val="30"/>
          <w:shd w:val="clear" w:color="auto" w:fill="FFFFFF"/>
        </w:rPr>
        <w:t>政务新媒体在西安新形象建构与传播中的作用</w:t>
      </w:r>
      <w:r>
        <w:rPr>
          <w:rFonts w:hint="eastAsia" w:ascii="仿宋_GB2312" w:hAnsi="仿宋_GB2312" w:eastAsia="仿宋_GB2312" w:cs="仿宋_GB2312"/>
          <w:b w:val="0"/>
          <w:bCs w:val="0"/>
          <w:color w:val="000000"/>
          <w:sz w:val="30"/>
          <w:szCs w:val="30"/>
          <w:shd w:val="clear" w:color="auto" w:fill="FFFFFF"/>
          <w:lang w:val="en-US" w:eastAsia="zh-CN"/>
        </w:rPr>
        <w:t>研究</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西安地铁文化传播的途径选择及优化研究</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新媒体语境下西安城市形象传播话语研究</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sz w:val="30"/>
          <w:szCs w:val="30"/>
        </w:rPr>
        <w:t>全媒体链下西安媒体对“西商品牌”的建构研究</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新时代西安文化旅游吸引力的建设研究</w:t>
      </w:r>
    </w:p>
    <w:p>
      <w:pPr>
        <w:keepNext w:val="0"/>
        <w:keepLines w:val="0"/>
        <w:pageBreakBefore w:val="0"/>
        <w:numPr>
          <w:ilvl w:val="0"/>
          <w:numId w:val="6"/>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西安文化旅游产业新增长点和新功能培育研究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z w:val="30"/>
          <w:szCs w:val="30"/>
          <w:lang w:val="zh-CN" w:eastAsia="zh-CN"/>
        </w:rPr>
      </w:pPr>
      <w:r>
        <w:rPr>
          <w:rFonts w:hint="eastAsia" w:ascii="仿宋_GB2312" w:hAnsi="仿宋_GB2312" w:eastAsia="仿宋_GB2312" w:cs="仿宋_GB2312"/>
          <w:b/>
          <w:bCs/>
          <w:sz w:val="30"/>
          <w:szCs w:val="30"/>
          <w:lang w:val="en-US" w:eastAsia="zh-CN"/>
        </w:rPr>
        <w:t>七</w:t>
      </w:r>
      <w:r>
        <w:rPr>
          <w:rFonts w:hint="eastAsia" w:ascii="仿宋_GB2312" w:hAnsi="仿宋_GB2312" w:eastAsia="仿宋_GB2312" w:cs="仿宋_GB2312"/>
          <w:b/>
          <w:bCs/>
          <w:sz w:val="30"/>
          <w:szCs w:val="30"/>
          <w:lang w:val="zh-CN" w:eastAsia="zh-CN"/>
        </w:rPr>
        <w:t>、文化事业、文化产业</w:t>
      </w:r>
    </w:p>
    <w:p>
      <w:pPr>
        <w:keepNext w:val="0"/>
        <w:keepLines w:val="0"/>
        <w:pageBreakBefore w:val="0"/>
        <w:numPr>
          <w:ilvl w:val="0"/>
          <w:numId w:val="7"/>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 w:hAnsi="仿宋" w:eastAsia="仿宋" w:cs="仿宋"/>
          <w:sz w:val="32"/>
          <w:szCs w:val="32"/>
          <w:lang w:val="en-US" w:eastAsia="zh-CN"/>
        </w:rPr>
        <w:t>西安挖掘传统文化与实施“文化+”战略研究</w:t>
      </w:r>
    </w:p>
    <w:p>
      <w:pPr>
        <w:keepNext w:val="0"/>
        <w:keepLines w:val="0"/>
        <w:pageBreakBefore w:val="0"/>
        <w:numPr>
          <w:ilvl w:val="0"/>
          <w:numId w:val="7"/>
        </w:numPr>
        <w:kinsoku/>
        <w:wordWrap/>
        <w:overflowPunct/>
        <w:topLinePunct w:val="0"/>
        <w:autoSpaceDE/>
        <w:autoSpaceDN/>
        <w:bidi w:val="0"/>
        <w:adjustRightInd w:val="0"/>
        <w:snapToGrid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关中地区民间美术类非遗项目的品牌构建研究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新形势下大西安红色文化片区旅游发展策划研究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西安城市公共会客厅建设研究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“互联网+”视角下西安市文化创意产业集聚模式创新研究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西安特色文化产业品牌培育研究</w:t>
      </w:r>
    </w:p>
    <w:p>
      <w:pPr>
        <w:keepNext w:val="0"/>
        <w:keepLines w:val="0"/>
        <w:pageBreakBefore w:val="0"/>
        <w:numPr>
          <w:ilvl w:val="0"/>
          <w:numId w:val="7"/>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西安市古寺庙文化资源开发策略研究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bCs/>
          <w:snapToGrid w:val="0"/>
          <w:kern w:val="0"/>
          <w:sz w:val="30"/>
          <w:szCs w:val="30"/>
          <w:lang w:val="zh-CN" w:eastAsia="zh-CN" w:bidi="ar-SA"/>
        </w:rPr>
      </w:pPr>
      <w:r>
        <w:rPr>
          <w:rFonts w:hint="eastAsia" w:ascii="仿宋_GB2312" w:hAnsi="仿宋_GB2312" w:eastAsia="仿宋_GB2312" w:cs="仿宋_GB2312"/>
          <w:b/>
          <w:bCs/>
          <w:snapToGrid w:val="0"/>
          <w:kern w:val="0"/>
          <w:sz w:val="30"/>
          <w:szCs w:val="30"/>
          <w:lang w:val="en-US" w:eastAsia="zh-CN" w:bidi="ar-SA"/>
        </w:rPr>
        <w:t>八</w:t>
      </w:r>
      <w:r>
        <w:rPr>
          <w:rFonts w:hint="eastAsia" w:ascii="仿宋_GB2312" w:hAnsi="仿宋_GB2312" w:eastAsia="仿宋_GB2312" w:cs="仿宋_GB2312"/>
          <w:b/>
          <w:bCs/>
          <w:snapToGrid w:val="0"/>
          <w:kern w:val="0"/>
          <w:sz w:val="30"/>
          <w:szCs w:val="30"/>
          <w:lang w:val="zh-CN" w:eastAsia="zh-CN" w:bidi="ar-SA"/>
        </w:rPr>
        <w:t>、教育学、心理学</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供给侧结构性改革视角下高校人才培养模式研究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新工科创新人才教育与培养模式研究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关中方言对英语语音感知能力的影响研究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小学课程基础知识信息可视化设计研究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高校辅导员职业心理素质培育机制研究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新时代大学生创新思维能力培养的策略研究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西安市高校留学生教育发展的限制因素调查研究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西安市高校与基础教育合作现状研究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kern w:val="0"/>
          <w:sz w:val="30"/>
          <w:szCs w:val="30"/>
          <w:lang w:val="en-US" w:eastAsia="zh-CN" w:bidi="ar-SA"/>
        </w:rPr>
      </w:pPr>
      <w:r>
        <w:rPr>
          <w:rFonts w:hint="eastAsia" w:ascii="仿宋_GB2312" w:hAnsi="仿宋_GB2312" w:eastAsia="仿宋_GB2312" w:cs="仿宋_GB2312"/>
          <w:snapToGrid w:val="0"/>
          <w:kern w:val="0"/>
          <w:sz w:val="30"/>
          <w:szCs w:val="30"/>
          <w:lang w:val="en-US" w:eastAsia="zh-CN" w:bidi="ar-SA"/>
        </w:rPr>
        <w:t>西安民办院校英语教学中学生跨文化交际能力的培养研究</w:t>
      </w:r>
    </w:p>
    <w:p>
      <w:pPr>
        <w:keepNext w:val="0"/>
        <w:keepLines w:val="0"/>
        <w:pageBreakBefore w:val="0"/>
        <w:numPr>
          <w:ilvl w:val="0"/>
          <w:numId w:val="8"/>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napToGrid w:val="0"/>
          <w:color w:val="auto"/>
          <w:kern w:val="0"/>
          <w:sz w:val="30"/>
          <w:szCs w:val="30"/>
          <w:lang w:val="en-US" w:eastAsia="zh-CN" w:bidi="ar-SA"/>
        </w:rPr>
      </w:pPr>
      <w:r>
        <w:rPr>
          <w:rFonts w:hint="eastAsia" w:ascii="仿宋_GB2312" w:hAnsi="仿宋_GB2312" w:eastAsia="仿宋_GB2312" w:cs="仿宋_GB2312"/>
          <w:snapToGrid w:val="0"/>
          <w:color w:val="auto"/>
          <w:kern w:val="0"/>
          <w:sz w:val="30"/>
          <w:szCs w:val="30"/>
          <w:lang w:val="en-US" w:eastAsia="zh-CN" w:bidi="ar-SA"/>
        </w:rPr>
        <w:t>西安市高校教师培训联动机制研究</w:t>
      </w:r>
    </w:p>
    <w:p>
      <w:pPr>
        <w:keepNext w:val="0"/>
        <w:keepLines w:val="0"/>
        <w:pageBreakBefore w:val="0"/>
        <w:kinsoku/>
        <w:wordWrap/>
        <w:overflowPunct/>
        <w:topLinePunct w:val="0"/>
        <w:autoSpaceDE/>
        <w:autoSpaceDN/>
        <w:bidi w:val="0"/>
        <w:spacing w:line="560" w:lineRule="exact"/>
        <w:ind w:left="0" w:leftChars="0" w:right="0" w:rightChars="0" w:firstLine="0" w:firstLineChars="0"/>
        <w:jc w:val="both"/>
        <w:textAlignment w:val="auto"/>
        <w:outlineLvl w:val="9"/>
        <w:rPr>
          <w:rFonts w:hint="eastAsia" w:ascii="仿宋_GB2312" w:hAnsi="仿宋_GB2312" w:eastAsia="仿宋_GB2312" w:cs="仿宋_GB2312"/>
          <w:b/>
          <w:sz w:val="30"/>
          <w:szCs w:val="30"/>
          <w:lang w:val="zh-CN"/>
        </w:rPr>
      </w:pPr>
      <w:r>
        <w:rPr>
          <w:rFonts w:hint="eastAsia" w:ascii="仿宋_GB2312" w:hAnsi="仿宋_GB2312" w:eastAsia="仿宋_GB2312" w:cs="仿宋_GB2312"/>
          <w:b/>
          <w:sz w:val="30"/>
          <w:szCs w:val="30"/>
          <w:lang w:val="en-US" w:eastAsia="zh-CN"/>
        </w:rPr>
        <w:t>九</w:t>
      </w:r>
      <w:r>
        <w:rPr>
          <w:rFonts w:hint="eastAsia" w:ascii="仿宋_GB2312" w:hAnsi="仿宋_GB2312" w:eastAsia="仿宋_GB2312" w:cs="仿宋_GB2312"/>
          <w:b/>
          <w:sz w:val="30"/>
          <w:szCs w:val="30"/>
          <w:lang w:val="zh-CN"/>
        </w:rPr>
        <w:t>、体育、艺术</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跨文化背景下西安民间特色器物形态风格融合特征研究</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“大西安”战略背景下繁荣电影文化与提升电影产业的路径研究</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“2021年第十四届全运会”背景下的西安市体育旅游发展策略研究</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西安城墙文化演出空间研究</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sz w:val="30"/>
          <w:szCs w:val="30"/>
          <w:lang w:val="en-US" w:eastAsia="zh-CN"/>
        </w:rPr>
      </w:pPr>
      <w:r>
        <w:rPr>
          <w:rFonts w:hint="eastAsia" w:ascii="仿宋_GB2312" w:hAnsi="仿宋_GB2312" w:eastAsia="仿宋_GB2312" w:cs="仿宋_GB2312"/>
          <w:b w:val="0"/>
          <w:bCs/>
          <w:sz w:val="30"/>
          <w:szCs w:val="30"/>
          <w:lang w:val="en-US" w:eastAsia="zh-CN"/>
        </w:rPr>
        <w:t>西安城市绿化与景观提升策略研究</w:t>
      </w:r>
    </w:p>
    <w:p>
      <w:pPr>
        <w:keepNext w:val="0"/>
        <w:keepLines w:val="0"/>
        <w:pageBreakBefore w:val="0"/>
        <w:widowControl w:val="0"/>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b w:val="0"/>
          <w:bCs/>
          <w:sz w:val="30"/>
          <w:szCs w:val="30"/>
        </w:rPr>
      </w:pPr>
      <w:r>
        <w:rPr>
          <w:rFonts w:hint="eastAsia" w:ascii="仿宋_GB2312" w:hAnsi="仿宋_GB2312" w:eastAsia="仿宋_GB2312" w:cs="仿宋_GB2312"/>
          <w:b w:val="0"/>
          <w:bCs/>
          <w:sz w:val="30"/>
          <w:szCs w:val="30"/>
        </w:rPr>
        <w:t xml:space="preserve">西安优秀传统手工艺术口述史研究 </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西安回坊历史街区保护及提升方案研究</w:t>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z w:val="30"/>
          <w:szCs w:val="30"/>
          <w:lang w:val="en-US" w:eastAsia="zh-CN"/>
        </w:rPr>
        <w:t>2017年</w:t>
      </w:r>
      <w:r>
        <w:rPr>
          <w:rFonts w:hint="eastAsia" w:ascii="仿宋_GB2312" w:hAnsi="仿宋_GB2312" w:eastAsia="仿宋_GB2312" w:cs="仿宋_GB2312"/>
          <w:color w:val="auto"/>
          <w:sz w:val="30"/>
          <w:szCs w:val="30"/>
        </w:rPr>
        <w:t>西安</w:t>
      </w:r>
      <w:r>
        <w:rPr>
          <w:rFonts w:hint="eastAsia" w:ascii="仿宋_GB2312" w:hAnsi="仿宋_GB2312" w:eastAsia="仿宋_GB2312" w:cs="仿宋_GB2312"/>
          <w:color w:val="auto"/>
          <w:sz w:val="30"/>
          <w:szCs w:val="30"/>
          <w:lang w:val="en-US" w:eastAsia="zh-CN"/>
        </w:rPr>
        <w:t>发展变化</w:t>
      </w:r>
      <w:r>
        <w:rPr>
          <w:rFonts w:hint="eastAsia" w:ascii="仿宋_GB2312" w:hAnsi="仿宋_GB2312" w:eastAsia="仿宋_GB2312" w:cs="仿宋_GB2312"/>
          <w:color w:val="auto"/>
          <w:sz w:val="30"/>
          <w:szCs w:val="30"/>
        </w:rPr>
        <w:t>摄影影像研究</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关中皮影艺术传承现状与发展困境</w:t>
      </w:r>
      <w:r>
        <w:rPr>
          <w:rFonts w:hint="eastAsia" w:ascii="仿宋_GB2312" w:hAnsi="仿宋_GB2312" w:eastAsia="仿宋_GB2312" w:cs="仿宋_GB2312"/>
          <w:sz w:val="30"/>
          <w:szCs w:val="30"/>
          <w:lang w:val="en-US" w:eastAsia="zh-CN"/>
        </w:rPr>
        <w:t>研究</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秦腔脚色行当研究</w:t>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sz w:val="30"/>
          <w:szCs w:val="30"/>
        </w:rPr>
        <w:t xml:space="preserve">全域旅游视域下西安体育健康特色小镇发展研究  </w:t>
      </w:r>
      <w:r>
        <w:rPr>
          <w:rFonts w:hint="eastAsia" w:ascii="仿宋_GB2312" w:hAnsi="仿宋_GB2312" w:eastAsia="仿宋_GB2312" w:cs="仿宋_GB2312"/>
          <w:color w:val="000000"/>
          <w:kern w:val="0"/>
          <w:sz w:val="30"/>
          <w:szCs w:val="30"/>
          <w:lang w:val="en-US" w:eastAsia="zh-CN"/>
        </w:rPr>
        <w:tab/>
      </w:r>
      <w:r>
        <w:rPr>
          <w:rFonts w:hint="eastAsia" w:ascii="仿宋_GB2312" w:hAnsi="仿宋_GB2312" w:eastAsia="仿宋_GB2312" w:cs="仿宋_GB2312"/>
          <w:color w:val="000000"/>
          <w:kern w:val="0"/>
          <w:sz w:val="30"/>
          <w:szCs w:val="30"/>
          <w:lang w:val="en-US" w:eastAsia="zh-CN"/>
        </w:rPr>
        <w:tab/>
      </w:r>
      <w:r>
        <w:rPr>
          <w:rFonts w:hint="eastAsia" w:ascii="仿宋_GB2312" w:hAnsi="仿宋_GB2312" w:eastAsia="仿宋_GB2312" w:cs="仿宋_GB2312"/>
          <w:color w:val="000000"/>
          <w:kern w:val="0"/>
          <w:sz w:val="30"/>
          <w:szCs w:val="30"/>
          <w:lang w:val="en-US" w:eastAsia="zh-CN"/>
        </w:rPr>
        <w:tab/>
      </w:r>
    </w:p>
    <w:p>
      <w:pPr>
        <w:keepNext w:val="0"/>
        <w:keepLines w:val="0"/>
        <w:pageBreakBefore w:val="0"/>
        <w:widowControl/>
        <w:numPr>
          <w:ilvl w:val="0"/>
          <w:numId w:val="9"/>
        </w:numPr>
        <w:kinsoku/>
        <w:wordWrap/>
        <w:overflowPunct/>
        <w:topLinePunct w:val="0"/>
        <w:autoSpaceDE/>
        <w:autoSpaceDN/>
        <w:bidi w:val="0"/>
        <w:adjustRightInd/>
        <w:snapToGrid/>
        <w:spacing w:line="560" w:lineRule="exact"/>
        <w:ind w:left="0" w:leftChars="0" w:right="0" w:rightChars="0" w:firstLine="400" w:firstLineChars="0"/>
        <w:jc w:val="both"/>
        <w:textAlignment w:val="auto"/>
        <w:outlineLvl w:val="9"/>
        <w:rPr>
          <w:rFonts w:hint="eastAsia" w:ascii="仿宋_GB2312" w:hAnsi="仿宋_GB2312" w:eastAsia="仿宋_GB2312" w:cs="仿宋_GB2312"/>
          <w:color w:val="000000"/>
          <w:kern w:val="0"/>
          <w:sz w:val="30"/>
          <w:szCs w:val="30"/>
          <w:lang w:val="en-US" w:eastAsia="zh-CN"/>
        </w:rPr>
      </w:pPr>
      <w:r>
        <w:rPr>
          <w:rFonts w:hint="eastAsia" w:ascii="仿宋_GB2312" w:hAnsi="仿宋_GB2312" w:eastAsia="仿宋_GB2312" w:cs="仿宋_GB2312"/>
          <w:color w:val="000000"/>
          <w:kern w:val="0"/>
          <w:sz w:val="30"/>
          <w:szCs w:val="30"/>
          <w:lang w:val="en-US" w:eastAsia="zh-CN"/>
        </w:rPr>
        <w:t>特色体育经济化发展路径研究</w:t>
      </w:r>
      <w:r>
        <w:rPr>
          <w:rFonts w:hint="eastAsia" w:ascii="仿宋_GB2312" w:hAnsi="仿宋_GB2312" w:eastAsia="仿宋_GB2312" w:cs="仿宋_GB2312"/>
          <w:color w:val="000000"/>
          <w:kern w:val="0"/>
          <w:sz w:val="30"/>
          <w:szCs w:val="30"/>
          <w:lang w:val="en-US" w:eastAsia="zh-CN"/>
        </w:rPr>
        <w:tab/>
      </w:r>
      <w:r>
        <w:rPr>
          <w:rFonts w:hint="eastAsia" w:ascii="仿宋_GB2312" w:hAnsi="仿宋_GB2312" w:eastAsia="仿宋_GB2312" w:cs="仿宋_GB2312"/>
          <w:color w:val="000000"/>
          <w:kern w:val="0"/>
          <w:sz w:val="30"/>
          <w:szCs w:val="30"/>
          <w:lang w:val="en-US" w:eastAsia="zh-CN"/>
        </w:rPr>
        <w:tab/>
      </w:r>
      <w:r>
        <w:rPr>
          <w:rFonts w:hint="eastAsia" w:ascii="仿宋_GB2312" w:hAnsi="仿宋_GB2312" w:eastAsia="仿宋_GB2312" w:cs="仿宋_GB2312"/>
          <w:color w:val="000000"/>
          <w:kern w:val="0"/>
          <w:sz w:val="30"/>
          <w:szCs w:val="30"/>
          <w:lang w:val="en-US" w:eastAsia="zh-CN"/>
        </w:rPr>
        <w:tab/>
      </w:r>
      <w:r>
        <w:rPr>
          <w:rFonts w:hint="eastAsia" w:ascii="仿宋_GB2312" w:hAnsi="仿宋_GB2312" w:eastAsia="仿宋_GB2312" w:cs="仿宋_GB2312"/>
          <w:color w:val="000000"/>
          <w:kern w:val="0"/>
          <w:sz w:val="30"/>
          <w:szCs w:val="30"/>
          <w:lang w:val="en-US" w:eastAsia="zh-CN"/>
        </w:rPr>
        <w:tab/>
      </w:r>
    </w:p>
    <w:p>
      <w:pPr>
        <w:keepNext w:val="0"/>
        <w:keepLines w:val="0"/>
        <w:pageBreakBefore w:val="0"/>
        <w:numPr>
          <w:ilvl w:val="0"/>
          <w:numId w:val="9"/>
        </w:numPr>
        <w:kinsoku/>
        <w:wordWrap/>
        <w:overflowPunct/>
        <w:topLinePunct w:val="0"/>
        <w:autoSpaceDE/>
        <w:autoSpaceDN/>
        <w:bidi w:val="0"/>
        <w:spacing w:line="560" w:lineRule="exact"/>
        <w:ind w:left="0" w:leftChars="0" w:right="0" w:rightChars="0" w:firstLine="400" w:firstLine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健康中国背景下西安健身资源共享问题研究</w:t>
      </w:r>
    </w:p>
    <w:p>
      <w:pPr>
        <w:rPr>
          <w:rFonts w:hint="eastAsia" w:ascii="仿宋_GB2312" w:eastAsia="仿宋_GB2312"/>
          <w:sz w:val="28"/>
          <w:szCs w:val="28"/>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487A2"/>
    <w:multiLevelType w:val="singleLevel"/>
    <w:tmpl w:val="5A4487A2"/>
    <w:lvl w:ilvl="0" w:tentative="0">
      <w:start w:val="1"/>
      <w:numFmt w:val="decimal"/>
      <w:suff w:val="nothing"/>
      <w:lvlText w:val="%1．"/>
      <w:lvlJc w:val="left"/>
      <w:pPr>
        <w:ind w:left="0" w:firstLine="400"/>
      </w:pPr>
      <w:rPr>
        <w:rFonts w:hint="default"/>
      </w:rPr>
    </w:lvl>
  </w:abstractNum>
  <w:abstractNum w:abstractNumId="1">
    <w:nsid w:val="5A4488E3"/>
    <w:multiLevelType w:val="singleLevel"/>
    <w:tmpl w:val="5A4488E3"/>
    <w:lvl w:ilvl="0" w:tentative="0">
      <w:start w:val="1"/>
      <w:numFmt w:val="decimal"/>
      <w:suff w:val="nothing"/>
      <w:lvlText w:val="%1．"/>
      <w:lvlJc w:val="left"/>
      <w:pPr>
        <w:ind w:left="0" w:firstLine="400"/>
      </w:pPr>
      <w:rPr>
        <w:rFonts w:hint="default"/>
      </w:rPr>
    </w:lvl>
  </w:abstractNum>
  <w:abstractNum w:abstractNumId="2">
    <w:nsid w:val="5A448941"/>
    <w:multiLevelType w:val="singleLevel"/>
    <w:tmpl w:val="5A448941"/>
    <w:lvl w:ilvl="0" w:tentative="0">
      <w:start w:val="1"/>
      <w:numFmt w:val="decimal"/>
      <w:suff w:val="nothing"/>
      <w:lvlText w:val="%1．"/>
      <w:lvlJc w:val="left"/>
      <w:pPr>
        <w:ind w:left="0" w:firstLine="400"/>
      </w:pPr>
      <w:rPr>
        <w:rFonts w:hint="default"/>
      </w:rPr>
    </w:lvl>
  </w:abstractNum>
  <w:abstractNum w:abstractNumId="3">
    <w:nsid w:val="5A448991"/>
    <w:multiLevelType w:val="singleLevel"/>
    <w:tmpl w:val="5A448991"/>
    <w:lvl w:ilvl="0" w:tentative="0">
      <w:start w:val="1"/>
      <w:numFmt w:val="decimal"/>
      <w:suff w:val="nothing"/>
      <w:lvlText w:val="%1．"/>
      <w:lvlJc w:val="left"/>
      <w:pPr>
        <w:ind w:left="0" w:firstLine="400"/>
      </w:pPr>
      <w:rPr>
        <w:rFonts w:hint="default"/>
      </w:rPr>
    </w:lvl>
  </w:abstractNum>
  <w:abstractNum w:abstractNumId="4">
    <w:nsid w:val="5A4489B8"/>
    <w:multiLevelType w:val="singleLevel"/>
    <w:tmpl w:val="5A4489B8"/>
    <w:lvl w:ilvl="0" w:tentative="0">
      <w:start w:val="1"/>
      <w:numFmt w:val="decimal"/>
      <w:suff w:val="nothing"/>
      <w:lvlText w:val="%1．"/>
      <w:lvlJc w:val="left"/>
      <w:pPr>
        <w:ind w:left="0" w:firstLine="400"/>
      </w:pPr>
      <w:rPr>
        <w:rFonts w:hint="default"/>
      </w:rPr>
    </w:lvl>
  </w:abstractNum>
  <w:abstractNum w:abstractNumId="5">
    <w:nsid w:val="5A4489E4"/>
    <w:multiLevelType w:val="singleLevel"/>
    <w:tmpl w:val="5A4489E4"/>
    <w:lvl w:ilvl="0" w:tentative="0">
      <w:start w:val="1"/>
      <w:numFmt w:val="decimal"/>
      <w:suff w:val="nothing"/>
      <w:lvlText w:val="%1．"/>
      <w:lvlJc w:val="left"/>
      <w:pPr>
        <w:ind w:left="0" w:firstLine="400"/>
      </w:pPr>
      <w:rPr>
        <w:rFonts w:hint="default"/>
      </w:rPr>
    </w:lvl>
  </w:abstractNum>
  <w:abstractNum w:abstractNumId="6">
    <w:nsid w:val="5A448A08"/>
    <w:multiLevelType w:val="singleLevel"/>
    <w:tmpl w:val="5A448A08"/>
    <w:lvl w:ilvl="0" w:tentative="0">
      <w:start w:val="1"/>
      <w:numFmt w:val="decimal"/>
      <w:suff w:val="nothing"/>
      <w:lvlText w:val="%1．"/>
      <w:lvlJc w:val="left"/>
      <w:pPr>
        <w:ind w:left="0" w:firstLine="400"/>
      </w:pPr>
      <w:rPr>
        <w:rFonts w:hint="default"/>
      </w:rPr>
    </w:lvl>
  </w:abstractNum>
  <w:abstractNum w:abstractNumId="7">
    <w:nsid w:val="5A448A32"/>
    <w:multiLevelType w:val="singleLevel"/>
    <w:tmpl w:val="5A448A32"/>
    <w:lvl w:ilvl="0" w:tentative="0">
      <w:start w:val="1"/>
      <w:numFmt w:val="decimal"/>
      <w:suff w:val="nothing"/>
      <w:lvlText w:val="%1．"/>
      <w:lvlJc w:val="left"/>
      <w:pPr>
        <w:ind w:left="0" w:firstLine="400"/>
      </w:pPr>
      <w:rPr>
        <w:rFonts w:hint="default"/>
      </w:rPr>
    </w:lvl>
  </w:abstractNum>
  <w:abstractNum w:abstractNumId="8">
    <w:nsid w:val="5A448A60"/>
    <w:multiLevelType w:val="singleLevel"/>
    <w:tmpl w:val="5A448A60"/>
    <w:lvl w:ilvl="0" w:tentative="0">
      <w:start w:val="1"/>
      <w:numFmt w:val="decimal"/>
      <w:suff w:val="nothing"/>
      <w:lvlText w:val="%1．"/>
      <w:lvlJc w:val="left"/>
      <w:pPr>
        <w:ind w:left="0" w:firstLine="400"/>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F490C"/>
    <w:rsid w:val="159F4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2018-01-02T09:03:00Z</dcterms:created>
  <dc:creator>Administrator</dc:creator>
  <cp:lastModifiedBy>Administrator</cp:lastModifiedBy>
  <dcterms:modified xsi:type="dcterms:W3CDTF">2018-01-02T09:05:38Z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